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楷体_GBK" w:hAnsi="方正楷体_GBK" w:eastAsia="方正楷体_GBK" w:cs="方正楷体_GBK"/>
          <w:bCs/>
          <w:snapToGrid w:val="0"/>
          <w:color w:val="auto"/>
          <w:spacing w:val="4"/>
          <w:kern w:val="0"/>
          <w:sz w:val="32"/>
          <w:szCs w:val="32"/>
          <w:lang w:val="en-US" w:eastAsia="zh-CN"/>
        </w:rPr>
      </w:pPr>
      <w:bookmarkStart w:id="0" w:name="_GoBack"/>
      <w:bookmarkEnd w:id="0"/>
      <w:r>
        <w:rPr>
          <w:rFonts w:hint="eastAsia" w:ascii="方正楷体_GBK" w:hAnsi="方正楷体_GBK" w:eastAsia="方正楷体_GBK" w:cs="方正楷体_GBK"/>
          <w:bCs/>
          <w:snapToGrid w:val="0"/>
          <w:color w:val="auto"/>
          <w:spacing w:val="4"/>
          <w:kern w:val="0"/>
          <w:sz w:val="32"/>
          <w:szCs w:val="32"/>
          <w:lang w:val="en-US" w:eastAsia="zh-CN"/>
        </w:rPr>
        <w:t>附件：</w:t>
      </w:r>
    </w:p>
    <w:p>
      <w:pPr>
        <w:jc w:val="center"/>
        <w:rPr>
          <w:rFonts w:hint="eastAsia" w:ascii="方正黑体_GBK" w:hAnsi="方正黑体_GBK" w:eastAsia="方正黑体_GBK" w:cs="方正黑体_GBK"/>
          <w:bCs/>
          <w:snapToGrid w:val="0"/>
          <w:color w:val="auto"/>
          <w:spacing w:val="4"/>
          <w:kern w:val="0"/>
          <w:sz w:val="32"/>
          <w:szCs w:val="32"/>
          <w:lang w:val="en-US" w:eastAsia="zh-CN"/>
        </w:rPr>
      </w:pPr>
      <w:r>
        <w:rPr>
          <w:rFonts w:hint="eastAsia" w:ascii="方正黑体_GBK" w:hAnsi="方正黑体_GBK" w:eastAsia="方正黑体_GBK" w:cs="方正黑体_GBK"/>
          <w:bCs/>
          <w:snapToGrid w:val="0"/>
          <w:color w:val="auto"/>
          <w:spacing w:val="4"/>
          <w:kern w:val="0"/>
          <w:sz w:val="32"/>
          <w:szCs w:val="32"/>
          <w:lang w:val="en-US" w:eastAsia="zh-CN"/>
        </w:rPr>
        <w:t>2026年度拟提名自治区科学技术进步奖成果公示材料</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472"/>
        <w:gridCol w:w="3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项目</w:t>
            </w:r>
          </w:p>
          <w:p>
            <w:pPr>
              <w:jc w:val="center"/>
              <w:rPr>
                <w:b/>
                <w:bCs/>
                <w:sz w:val="21"/>
                <w:szCs w:val="21"/>
              </w:rPr>
            </w:pPr>
            <w:r>
              <w:rPr>
                <w:rFonts w:hint="eastAsia"/>
                <w:b/>
                <w:bCs/>
                <w:sz w:val="21"/>
                <w:szCs w:val="21"/>
              </w:rPr>
              <w:t>名称</w:t>
            </w:r>
          </w:p>
        </w:tc>
        <w:tc>
          <w:tcPr>
            <w:tcW w:w="7563" w:type="dxa"/>
            <w:gridSpan w:val="2"/>
            <w:noWrap w:val="0"/>
            <w:vAlign w:val="center"/>
          </w:tcPr>
          <w:p>
            <w:pPr>
              <w:autoSpaceDE w:val="0"/>
              <w:autoSpaceDN w:val="0"/>
              <w:adjustRightInd w:val="0"/>
              <w:spacing w:line="400" w:lineRule="exact"/>
              <w:jc w:val="center"/>
              <w:rPr>
                <w:rFonts w:hint="default" w:eastAsia="仿宋_GB2312"/>
                <w:bCs/>
                <w:color w:val="auto"/>
                <w:sz w:val="21"/>
                <w:szCs w:val="21"/>
                <w:lang w:val="en-US" w:eastAsia="zh-CN"/>
              </w:rPr>
            </w:pPr>
            <w:r>
              <w:rPr>
                <w:rFonts w:hint="default" w:ascii="宋体" w:hAnsi="宋体" w:eastAsia="宋体" w:cs="宋体"/>
                <w:color w:val="auto"/>
                <w:sz w:val="21"/>
                <w:szCs w:val="21"/>
                <w:shd w:val="clear" w:color="auto" w:fill="FFFFFF"/>
                <w:lang w:val="en-US" w:eastAsia="zh-CN"/>
              </w:rPr>
              <w:t>西部医疗建筑钢-混结构体系建维关键技术研究与示范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59" w:type="dxa"/>
            <w:noWrap w:val="0"/>
            <w:vAlign w:val="top"/>
          </w:tcPr>
          <w:p>
            <w:pPr>
              <w:jc w:val="center"/>
              <w:rPr>
                <w:rFonts w:hint="eastAsia"/>
                <w:b/>
                <w:bCs/>
                <w:sz w:val="21"/>
                <w:szCs w:val="21"/>
              </w:rPr>
            </w:pPr>
            <w:r>
              <w:rPr>
                <w:rFonts w:hint="eastAsia"/>
                <w:b/>
                <w:bCs/>
                <w:sz w:val="21"/>
                <w:szCs w:val="21"/>
              </w:rPr>
              <w:t>提名</w:t>
            </w:r>
          </w:p>
          <w:p>
            <w:pPr>
              <w:jc w:val="center"/>
              <w:rPr>
                <w:rFonts w:hint="eastAsia"/>
                <w:b/>
                <w:bCs/>
                <w:sz w:val="21"/>
                <w:szCs w:val="21"/>
              </w:rPr>
            </w:pPr>
            <w:r>
              <w:rPr>
                <w:rFonts w:hint="eastAsia"/>
                <w:b/>
                <w:bCs/>
                <w:sz w:val="21"/>
                <w:szCs w:val="21"/>
              </w:rPr>
              <w:t>单位</w:t>
            </w:r>
          </w:p>
        </w:tc>
        <w:tc>
          <w:tcPr>
            <w:tcW w:w="7563" w:type="dxa"/>
            <w:gridSpan w:val="2"/>
            <w:noWrap w:val="0"/>
            <w:vAlign w:val="center"/>
          </w:tcPr>
          <w:p>
            <w:pPr>
              <w:autoSpaceDE w:val="0"/>
              <w:autoSpaceDN w:val="0"/>
              <w:adjustRightInd w:val="0"/>
              <w:spacing w:line="400" w:lineRule="exact"/>
              <w:jc w:val="center"/>
              <w:rPr>
                <w:rFonts w:hint="default" w:ascii="宋体" w:hAnsi="宋体"/>
                <w:color w:val="auto"/>
                <w:sz w:val="21"/>
                <w:szCs w:val="21"/>
                <w:shd w:val="clear" w:color="auto" w:fill="FFFFFF"/>
                <w:lang w:val="en" w:eastAsia="zh-CN"/>
              </w:rPr>
            </w:pPr>
            <w:r>
              <w:rPr>
                <w:rFonts w:hint="eastAsia" w:ascii="宋体" w:hAnsi="宋体" w:eastAsia="宋体" w:cs="宋体"/>
                <w:color w:val="auto"/>
                <w:sz w:val="21"/>
                <w:szCs w:val="21"/>
                <w:shd w:val="clear" w:color="auto" w:fill="FFFFFF"/>
                <w:lang w:val="en" w:eastAsia="zh-CN"/>
              </w:rPr>
              <w:t>巴音郭楞蒙古自治州人民政府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959" w:type="dxa"/>
            <w:vMerge w:val="restart"/>
            <w:noWrap w:val="0"/>
            <w:vAlign w:val="center"/>
          </w:tcPr>
          <w:p>
            <w:pPr>
              <w:jc w:val="center"/>
              <w:rPr>
                <w:rFonts w:hint="eastAsia"/>
                <w:b/>
                <w:bCs/>
                <w:sz w:val="21"/>
                <w:szCs w:val="21"/>
                <w:lang w:eastAsia="zh-CN"/>
              </w:rPr>
            </w:pPr>
            <w:r>
              <w:rPr>
                <w:rFonts w:hint="eastAsia"/>
                <w:b/>
                <w:bCs/>
                <w:sz w:val="21"/>
                <w:szCs w:val="21"/>
                <w:lang w:eastAsia="zh-CN"/>
              </w:rPr>
              <w:t>主要</w:t>
            </w:r>
          </w:p>
          <w:p>
            <w:pPr>
              <w:jc w:val="center"/>
              <w:rPr>
                <w:rFonts w:hint="eastAsia"/>
                <w:b/>
                <w:bCs/>
                <w:sz w:val="21"/>
                <w:szCs w:val="21"/>
              </w:rPr>
            </w:pPr>
            <w:r>
              <w:rPr>
                <w:b/>
                <w:bCs/>
                <w:sz w:val="21"/>
                <w:szCs w:val="21"/>
              </w:rPr>
              <w:t>完成</w:t>
            </w:r>
          </w:p>
          <w:p>
            <w:pPr>
              <w:jc w:val="center"/>
              <w:rPr>
                <w:rFonts w:hint="eastAsia"/>
                <w:b/>
                <w:bCs/>
                <w:sz w:val="21"/>
                <w:szCs w:val="21"/>
              </w:rPr>
            </w:pPr>
            <w:r>
              <w:rPr>
                <w:b/>
                <w:bCs/>
                <w:sz w:val="21"/>
                <w:szCs w:val="21"/>
              </w:rPr>
              <w:t>单位</w:t>
            </w:r>
          </w:p>
          <w:p>
            <w:pPr>
              <w:jc w:val="center"/>
              <w:rPr>
                <w:b/>
                <w:bCs/>
                <w:sz w:val="21"/>
                <w:szCs w:val="21"/>
              </w:rPr>
            </w:pPr>
          </w:p>
        </w:tc>
        <w:tc>
          <w:tcPr>
            <w:tcW w:w="4472" w:type="dxa"/>
            <w:noWrap w:val="0"/>
            <w:vAlign w:val="center"/>
          </w:tcPr>
          <w:p>
            <w:pPr>
              <w:jc w:val="center"/>
              <w:rPr>
                <w:rFonts w:hint="eastAsia"/>
                <w:b/>
                <w:color w:val="auto"/>
                <w:sz w:val="21"/>
                <w:szCs w:val="21"/>
              </w:rPr>
            </w:pPr>
            <w:r>
              <w:rPr>
                <w:rFonts w:hint="eastAsia"/>
                <w:b/>
                <w:color w:val="auto"/>
                <w:sz w:val="21"/>
                <w:szCs w:val="21"/>
              </w:rPr>
              <w:t>单位名称</w:t>
            </w:r>
          </w:p>
        </w:tc>
        <w:tc>
          <w:tcPr>
            <w:tcW w:w="3091" w:type="dxa"/>
            <w:noWrap w:val="0"/>
            <w:vAlign w:val="center"/>
          </w:tcPr>
          <w:p>
            <w:pPr>
              <w:jc w:val="center"/>
              <w:rPr>
                <w:rFonts w:hint="eastAsia"/>
                <w:b/>
                <w:color w:val="auto"/>
                <w:sz w:val="21"/>
                <w:szCs w:val="21"/>
              </w:rPr>
            </w:pPr>
            <w:r>
              <w:rPr>
                <w:rFonts w:hint="eastAsia"/>
                <w:b/>
                <w:color w:val="auto"/>
                <w:sz w:val="21"/>
                <w:szCs w:val="21"/>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59" w:type="dxa"/>
            <w:vMerge w:val="continue"/>
            <w:noWrap w:val="0"/>
            <w:vAlign w:val="top"/>
          </w:tcPr>
          <w:p>
            <w:pPr>
              <w:rPr>
                <w:b/>
                <w:bCs/>
                <w:sz w:val="21"/>
                <w:szCs w:val="21"/>
              </w:rPr>
            </w:pPr>
          </w:p>
        </w:tc>
        <w:tc>
          <w:tcPr>
            <w:tcW w:w="4472" w:type="dxa"/>
            <w:noWrap w:val="0"/>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中交第二公路工程局有限公司库尔勒分公司</w:t>
            </w:r>
          </w:p>
        </w:tc>
        <w:tc>
          <w:tcPr>
            <w:tcW w:w="3091" w:type="dxa"/>
            <w:noWrap w:val="0"/>
            <w:vAlign w:val="center"/>
          </w:tcPr>
          <w:p>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959" w:type="dxa"/>
            <w:vMerge w:val="continue"/>
            <w:noWrap w:val="0"/>
            <w:vAlign w:val="top"/>
          </w:tcPr>
          <w:p>
            <w:pPr>
              <w:rPr>
                <w:b/>
                <w:bCs/>
                <w:sz w:val="21"/>
                <w:szCs w:val="21"/>
              </w:rPr>
            </w:pPr>
          </w:p>
        </w:tc>
        <w:tc>
          <w:tcPr>
            <w:tcW w:w="4472"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新疆大学</w:t>
            </w:r>
          </w:p>
        </w:tc>
        <w:tc>
          <w:tcPr>
            <w:tcW w:w="3091"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continue"/>
            <w:noWrap w:val="0"/>
            <w:vAlign w:val="top"/>
          </w:tcPr>
          <w:p>
            <w:pPr>
              <w:rPr>
                <w:b/>
                <w:bCs/>
                <w:sz w:val="21"/>
                <w:szCs w:val="21"/>
              </w:rPr>
            </w:pPr>
          </w:p>
        </w:tc>
        <w:tc>
          <w:tcPr>
            <w:tcW w:w="4472"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中交二公局第五工程有限公司</w:t>
            </w:r>
          </w:p>
        </w:tc>
        <w:tc>
          <w:tcPr>
            <w:tcW w:w="3091"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trPr>
        <w:tc>
          <w:tcPr>
            <w:tcW w:w="959" w:type="dxa"/>
            <w:vMerge w:val="continue"/>
            <w:noWrap w:val="0"/>
            <w:vAlign w:val="top"/>
          </w:tcPr>
          <w:p>
            <w:pPr>
              <w:rPr>
                <w:b/>
                <w:bCs/>
                <w:sz w:val="21"/>
                <w:szCs w:val="21"/>
              </w:rPr>
            </w:pPr>
          </w:p>
        </w:tc>
        <w:tc>
          <w:tcPr>
            <w:tcW w:w="4472"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中交第二公路工程局有限公司</w:t>
            </w:r>
          </w:p>
        </w:tc>
        <w:tc>
          <w:tcPr>
            <w:tcW w:w="3091"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59" w:type="dxa"/>
            <w:vMerge w:val="continue"/>
            <w:noWrap w:val="0"/>
            <w:vAlign w:val="top"/>
          </w:tcPr>
          <w:p>
            <w:pPr>
              <w:rPr>
                <w:b/>
                <w:bCs/>
                <w:sz w:val="21"/>
                <w:szCs w:val="21"/>
              </w:rPr>
            </w:pPr>
          </w:p>
        </w:tc>
        <w:tc>
          <w:tcPr>
            <w:tcW w:w="4472" w:type="dxa"/>
            <w:noWrap w:val="0"/>
            <w:vAlign w:val="center"/>
          </w:tcPr>
          <w:p>
            <w:pPr>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青岛理工大学</w:t>
            </w:r>
          </w:p>
        </w:tc>
        <w:tc>
          <w:tcPr>
            <w:tcW w:w="3091" w:type="dxa"/>
            <w:noWrap w:val="0"/>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959" w:type="dxa"/>
            <w:noWrap w:val="0"/>
            <w:vAlign w:val="center"/>
          </w:tcPr>
          <w:p>
            <w:pPr>
              <w:jc w:val="center"/>
              <w:rPr>
                <w:b/>
                <w:bCs/>
                <w:sz w:val="21"/>
                <w:szCs w:val="21"/>
              </w:rPr>
            </w:pPr>
            <w:r>
              <w:rPr>
                <w:rFonts w:hint="eastAsia"/>
                <w:b/>
                <w:bCs/>
                <w:sz w:val="21"/>
                <w:szCs w:val="21"/>
                <w:lang w:eastAsia="zh-CN"/>
              </w:rPr>
              <w:t>主要</w:t>
            </w:r>
            <w:r>
              <w:rPr>
                <w:b/>
                <w:bCs/>
                <w:sz w:val="21"/>
                <w:szCs w:val="21"/>
              </w:rPr>
              <w:t>完成人</w:t>
            </w:r>
          </w:p>
        </w:tc>
        <w:tc>
          <w:tcPr>
            <w:tcW w:w="756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姓名：韩风霞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第一</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技术职称：教授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工作单位：新疆大学</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姓名：朱小金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第二</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技术职称：正高级工程师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工作单位：中交二公局第五工程有限公司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姓名：金永飞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第三</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技术职称：高级工程师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工作单位：中交二公局第五工程有限公司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姓名：吴易来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第四</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技术职称：高级工程师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工作单位：中交第二公路工程局有限公司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姓名：雷东移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第五</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技术职称：教授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工作单位：青岛理工大学</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姓名：孙国帅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第六</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技术职称：教授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工作单位：新疆大学</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姓名：阿力普江·杰如拉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第七</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技术职称：讲师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工作单位：新疆大学</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姓名：张小建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第八</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技术职称：高级工程师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工作单位：中交第二公路工程局有限公司库尔勒分公司</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姓名：田坦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排名：</w:t>
            </w:r>
            <w:r>
              <w:rPr>
                <w:rFonts w:hint="eastAsia" w:ascii="宋体" w:hAnsi="宋体" w:cs="宋体"/>
                <w:bCs/>
                <w:color w:val="auto"/>
                <w:sz w:val="21"/>
                <w:szCs w:val="21"/>
                <w:lang w:val="en-US" w:eastAsia="zh-CN"/>
              </w:rPr>
              <w:t>第九</w:t>
            </w:r>
            <w:r>
              <w:rPr>
                <w:rFonts w:hint="eastAsia" w:ascii="宋体" w:hAnsi="宋体" w:eastAsia="宋体" w:cs="宋体"/>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技术职称：高级工程师   </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bCs/>
                <w:color w:val="FF0000"/>
                <w:sz w:val="21"/>
                <w:szCs w:val="21"/>
                <w:lang w:val="en-US" w:eastAsia="zh-CN"/>
              </w:rPr>
            </w:pPr>
            <w:r>
              <w:rPr>
                <w:rFonts w:hint="eastAsia" w:ascii="宋体" w:hAnsi="宋体" w:eastAsia="宋体" w:cs="宋体"/>
                <w:bCs/>
                <w:color w:val="auto"/>
                <w:sz w:val="21"/>
                <w:szCs w:val="21"/>
                <w:lang w:val="en-US" w:eastAsia="zh-CN"/>
              </w:rPr>
              <w:t>工作单位：中交二公局第五工程有限公司</w:t>
            </w:r>
          </w:p>
        </w:tc>
      </w:tr>
    </w:tbl>
    <w:tbl>
      <w:tblPr>
        <w:tblStyle w:val="11"/>
        <w:tblpPr w:leftFromText="180" w:rightFromText="180" w:vertAnchor="text" w:horzAnchor="page" w:tblpX="1792" w:tblpY="40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541"/>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项目</w:t>
            </w:r>
          </w:p>
          <w:p>
            <w:pPr>
              <w:jc w:val="center"/>
              <w:rPr>
                <w:b/>
                <w:bCs/>
                <w:sz w:val="21"/>
                <w:szCs w:val="21"/>
              </w:rPr>
            </w:pPr>
            <w:r>
              <w:rPr>
                <w:rFonts w:hint="eastAsia"/>
                <w:b/>
                <w:bCs/>
                <w:sz w:val="21"/>
                <w:szCs w:val="21"/>
              </w:rPr>
              <w:t>名称</w:t>
            </w:r>
          </w:p>
        </w:tc>
        <w:tc>
          <w:tcPr>
            <w:tcW w:w="7563" w:type="dxa"/>
            <w:gridSpan w:val="2"/>
            <w:noWrap w:val="0"/>
            <w:vAlign w:val="center"/>
          </w:tcPr>
          <w:p>
            <w:pPr>
              <w:autoSpaceDE w:val="0"/>
              <w:autoSpaceDN w:val="0"/>
              <w:adjustRightInd w:val="0"/>
              <w:spacing w:line="400" w:lineRule="exact"/>
              <w:jc w:val="center"/>
              <w:rPr>
                <w:rFonts w:eastAsia="仿宋_GB2312"/>
                <w:bCs/>
                <w:sz w:val="21"/>
                <w:szCs w:val="21"/>
              </w:rPr>
            </w:pPr>
            <w:r>
              <w:rPr>
                <w:rFonts w:hint="eastAsia" w:ascii="宋体" w:hAnsi="宋体" w:eastAsia="宋体" w:cs="宋体"/>
                <w:color w:val="auto"/>
                <w:sz w:val="21"/>
                <w:szCs w:val="21"/>
                <w:shd w:val="clear" w:color="auto" w:fill="FFFFFF"/>
                <w:lang w:val="en" w:eastAsia="zh-CN"/>
              </w:rPr>
              <w:t>色素辣椒柔性低损收获关键技术装备及应用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提名</w:t>
            </w:r>
          </w:p>
          <w:p>
            <w:pPr>
              <w:jc w:val="center"/>
              <w:rPr>
                <w:rFonts w:hint="eastAsia"/>
                <w:b/>
                <w:bCs/>
                <w:sz w:val="21"/>
                <w:szCs w:val="21"/>
              </w:rPr>
            </w:pPr>
            <w:r>
              <w:rPr>
                <w:rFonts w:hint="eastAsia"/>
                <w:b/>
                <w:bCs/>
                <w:sz w:val="21"/>
                <w:szCs w:val="21"/>
              </w:rPr>
              <w:t>单位</w:t>
            </w:r>
          </w:p>
        </w:tc>
        <w:tc>
          <w:tcPr>
            <w:tcW w:w="7563" w:type="dxa"/>
            <w:gridSpan w:val="2"/>
            <w:noWrap w:val="0"/>
            <w:vAlign w:val="center"/>
          </w:tcPr>
          <w:p>
            <w:pPr>
              <w:autoSpaceDE w:val="0"/>
              <w:autoSpaceDN w:val="0"/>
              <w:adjustRightInd w:val="0"/>
              <w:spacing w:line="400" w:lineRule="exact"/>
              <w:jc w:val="center"/>
              <w:rPr>
                <w:rFonts w:hint="default" w:ascii="宋体" w:hAnsi="宋体"/>
                <w:color w:val="333333"/>
                <w:sz w:val="21"/>
                <w:szCs w:val="21"/>
                <w:shd w:val="clear" w:color="auto" w:fill="FFFFFF"/>
                <w:lang w:val="en" w:eastAsia="zh-CN"/>
              </w:rPr>
            </w:pPr>
            <w:r>
              <w:rPr>
                <w:rFonts w:hint="eastAsia" w:ascii="宋体" w:hAnsi="宋体" w:eastAsia="宋体" w:cs="宋体"/>
                <w:color w:val="auto"/>
                <w:sz w:val="21"/>
                <w:szCs w:val="21"/>
                <w:shd w:val="clear" w:color="auto" w:fill="FFFFFF"/>
                <w:lang w:val="en" w:eastAsia="zh-CN"/>
              </w:rPr>
              <w:t>巴音郭楞蒙古自治州人民政府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59" w:type="dxa"/>
            <w:vMerge w:val="restart"/>
            <w:noWrap w:val="0"/>
            <w:vAlign w:val="center"/>
          </w:tcPr>
          <w:p>
            <w:pPr>
              <w:jc w:val="center"/>
              <w:rPr>
                <w:rFonts w:hint="eastAsia"/>
                <w:b/>
                <w:bCs/>
                <w:sz w:val="21"/>
                <w:szCs w:val="21"/>
                <w:lang w:eastAsia="zh-CN"/>
              </w:rPr>
            </w:pPr>
            <w:r>
              <w:rPr>
                <w:rFonts w:hint="eastAsia"/>
                <w:b/>
                <w:bCs/>
                <w:sz w:val="21"/>
                <w:szCs w:val="21"/>
                <w:lang w:eastAsia="zh-CN"/>
              </w:rPr>
              <w:t>主要</w:t>
            </w:r>
          </w:p>
          <w:p>
            <w:pPr>
              <w:jc w:val="center"/>
              <w:rPr>
                <w:rFonts w:hint="eastAsia"/>
                <w:b/>
                <w:bCs/>
                <w:sz w:val="21"/>
                <w:szCs w:val="21"/>
              </w:rPr>
            </w:pPr>
            <w:r>
              <w:rPr>
                <w:b/>
                <w:bCs/>
                <w:sz w:val="21"/>
                <w:szCs w:val="21"/>
              </w:rPr>
              <w:t>完成</w:t>
            </w:r>
          </w:p>
          <w:p>
            <w:pPr>
              <w:jc w:val="center"/>
              <w:rPr>
                <w:rFonts w:hint="eastAsia"/>
                <w:b/>
                <w:bCs/>
                <w:sz w:val="21"/>
                <w:szCs w:val="21"/>
              </w:rPr>
            </w:pPr>
            <w:r>
              <w:rPr>
                <w:b/>
                <w:bCs/>
                <w:sz w:val="21"/>
                <w:szCs w:val="21"/>
              </w:rPr>
              <w:t>单位</w:t>
            </w:r>
          </w:p>
          <w:p>
            <w:pPr>
              <w:jc w:val="center"/>
              <w:rPr>
                <w:rFonts w:ascii="Times New Roman" w:hAnsi="Times New Roman" w:eastAsia="宋体" w:cs="Times New Roman"/>
                <w:b/>
                <w:bCs/>
                <w:kern w:val="2"/>
                <w:sz w:val="21"/>
                <w:szCs w:val="21"/>
                <w:lang w:val="en-US" w:eastAsia="zh-CN" w:bidi="ar-SA"/>
              </w:rPr>
            </w:pPr>
          </w:p>
          <w:p>
            <w:pPr>
              <w:jc w:val="center"/>
              <w:rPr>
                <w:b/>
                <w:bCs/>
                <w:sz w:val="21"/>
                <w:szCs w:val="21"/>
              </w:rPr>
            </w:pPr>
          </w:p>
        </w:tc>
        <w:tc>
          <w:tcPr>
            <w:tcW w:w="4541" w:type="dxa"/>
            <w:noWrap w:val="0"/>
            <w:vAlign w:val="center"/>
          </w:tcPr>
          <w:p>
            <w:pPr>
              <w:jc w:val="center"/>
              <w:rPr>
                <w:rFonts w:hint="eastAsia" w:ascii="Times New Roman" w:hAnsi="Times New Roman" w:eastAsia="宋体" w:cs="Times New Roman"/>
                <w:b/>
                <w:color w:val="000000"/>
                <w:kern w:val="2"/>
                <w:sz w:val="21"/>
                <w:szCs w:val="21"/>
                <w:lang w:val="en-US" w:eastAsia="zh-CN" w:bidi="ar-SA"/>
              </w:rPr>
            </w:pPr>
            <w:r>
              <w:rPr>
                <w:rFonts w:hint="eastAsia"/>
                <w:b/>
                <w:color w:val="000000"/>
                <w:sz w:val="21"/>
                <w:szCs w:val="21"/>
              </w:rPr>
              <w:t>单位名称</w:t>
            </w:r>
          </w:p>
        </w:tc>
        <w:tc>
          <w:tcPr>
            <w:tcW w:w="3022" w:type="dxa"/>
            <w:noWrap w:val="0"/>
            <w:vAlign w:val="center"/>
          </w:tcPr>
          <w:p>
            <w:pPr>
              <w:jc w:val="center"/>
              <w:rPr>
                <w:rFonts w:hint="eastAsia" w:ascii="Times New Roman" w:hAnsi="Times New Roman" w:eastAsia="宋体" w:cs="Times New Roman"/>
                <w:b/>
                <w:color w:val="000000"/>
                <w:kern w:val="2"/>
                <w:sz w:val="21"/>
                <w:szCs w:val="21"/>
                <w:lang w:val="en-US" w:eastAsia="zh-CN" w:bidi="ar-SA"/>
              </w:rPr>
            </w:pPr>
            <w:r>
              <w:rPr>
                <w:rFonts w:hint="eastAsia"/>
                <w:b/>
                <w:color w:val="000000"/>
                <w:sz w:val="21"/>
                <w:szCs w:val="21"/>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巴音郭楞职业技术学院</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巴州农业农村机械化发展中心</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库尔勒源丰农机有限公司</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新疆禾本农业科技有限公司</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吉林大学</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959" w:type="dxa"/>
            <w:noWrap w:val="0"/>
            <w:vAlign w:val="center"/>
          </w:tcPr>
          <w:p>
            <w:pPr>
              <w:jc w:val="center"/>
              <w:rPr>
                <w:b/>
                <w:bCs/>
                <w:sz w:val="21"/>
                <w:szCs w:val="21"/>
              </w:rPr>
            </w:pPr>
            <w:r>
              <w:rPr>
                <w:rFonts w:hint="eastAsia"/>
                <w:b/>
                <w:bCs/>
                <w:sz w:val="21"/>
                <w:szCs w:val="21"/>
                <w:lang w:eastAsia="zh-CN"/>
              </w:rPr>
              <w:t>主要</w:t>
            </w:r>
            <w:r>
              <w:rPr>
                <w:b/>
                <w:bCs/>
                <w:sz w:val="21"/>
                <w:szCs w:val="21"/>
              </w:rPr>
              <w:t>完成人</w:t>
            </w:r>
          </w:p>
        </w:tc>
        <w:tc>
          <w:tcPr>
            <w:tcW w:w="756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姓名：袁小伟</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排名：第一</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技术职称：副教授</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工作单位：巴音郭楞职业技术学院</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姓名：高志涛</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排名：第二</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工作单位：巴音郭楞职业技术学院</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姓名：金若成</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排名：第三</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工作单位：巴州农业农村机械化发展中心</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姓名：吕慧捷</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排名：第四</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工作单位：巴音郭楞职业技术学院</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姓名：李光新</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排名：第五</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工作单位：新疆禾本农业科技有限公司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姓名：赵黎炜</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排名：第六</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工作单位：巴州农业农村机械化发展中心</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姓名：马云海</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排名：第七</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工作单位：吉林大学</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姓名：吴照磊</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排名：第八</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工作单位：新疆禾本农业科技有限公司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姓名：付温平</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排名：第九</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工作单位：库尔勒源丰农机有限公司</w:t>
            </w:r>
          </w:p>
        </w:tc>
      </w:tr>
    </w:tbl>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5042"/>
        <w:gridCol w:w="2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项目</w:t>
            </w:r>
          </w:p>
          <w:p>
            <w:pPr>
              <w:jc w:val="center"/>
              <w:rPr>
                <w:b/>
                <w:bCs/>
                <w:sz w:val="21"/>
                <w:szCs w:val="21"/>
              </w:rPr>
            </w:pPr>
            <w:r>
              <w:rPr>
                <w:rFonts w:hint="eastAsia"/>
                <w:b/>
                <w:bCs/>
                <w:sz w:val="21"/>
                <w:szCs w:val="21"/>
              </w:rPr>
              <w:t>名称</w:t>
            </w:r>
          </w:p>
        </w:tc>
        <w:tc>
          <w:tcPr>
            <w:tcW w:w="7563" w:type="dxa"/>
            <w:gridSpan w:val="2"/>
            <w:noWrap w:val="0"/>
            <w:vAlign w:val="center"/>
          </w:tcPr>
          <w:p>
            <w:pPr>
              <w:autoSpaceDE w:val="0"/>
              <w:autoSpaceDN w:val="0"/>
              <w:adjustRightInd w:val="0"/>
              <w:spacing w:line="400" w:lineRule="exact"/>
              <w:jc w:val="center"/>
              <w:rPr>
                <w:rFonts w:hint="eastAsia" w:eastAsia="仿宋_GB2312"/>
                <w:bCs/>
                <w:sz w:val="21"/>
                <w:szCs w:val="21"/>
                <w:lang w:eastAsia="zh-CN"/>
              </w:rPr>
            </w:pPr>
            <w:r>
              <w:rPr>
                <w:rFonts w:hint="eastAsia" w:ascii="宋体" w:hAnsi="宋体" w:eastAsia="宋体" w:cs="宋体"/>
                <w:color w:val="auto"/>
                <w:sz w:val="21"/>
                <w:szCs w:val="21"/>
                <w:shd w:val="clear" w:color="auto" w:fill="FFFFFF"/>
                <w:lang w:val="en" w:eastAsia="zh-CN"/>
              </w:rPr>
              <w:t>深层超深层钻井井筒压力与井壁稳定性高效控制关键技术及规模应用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提名</w:t>
            </w:r>
          </w:p>
          <w:p>
            <w:pPr>
              <w:jc w:val="center"/>
              <w:rPr>
                <w:rFonts w:hint="eastAsia"/>
                <w:b/>
                <w:bCs/>
                <w:sz w:val="21"/>
                <w:szCs w:val="21"/>
              </w:rPr>
            </w:pPr>
            <w:r>
              <w:rPr>
                <w:rFonts w:hint="eastAsia"/>
                <w:b/>
                <w:bCs/>
                <w:sz w:val="21"/>
                <w:szCs w:val="21"/>
              </w:rPr>
              <w:t>单位</w:t>
            </w:r>
          </w:p>
        </w:tc>
        <w:tc>
          <w:tcPr>
            <w:tcW w:w="7563" w:type="dxa"/>
            <w:gridSpan w:val="2"/>
            <w:noWrap w:val="0"/>
            <w:vAlign w:val="center"/>
          </w:tcPr>
          <w:p>
            <w:pPr>
              <w:autoSpaceDE w:val="0"/>
              <w:autoSpaceDN w:val="0"/>
              <w:adjustRightInd w:val="0"/>
              <w:spacing w:line="400" w:lineRule="exact"/>
              <w:jc w:val="center"/>
              <w:rPr>
                <w:rFonts w:hint="default" w:ascii="宋体" w:hAnsi="宋体"/>
                <w:color w:val="333333"/>
                <w:sz w:val="21"/>
                <w:szCs w:val="21"/>
                <w:shd w:val="clear" w:color="auto" w:fill="FFFFFF"/>
                <w:lang w:val="en" w:eastAsia="zh-CN"/>
              </w:rPr>
            </w:pPr>
            <w:r>
              <w:rPr>
                <w:rFonts w:hint="eastAsia" w:ascii="宋体" w:hAnsi="宋体" w:eastAsia="宋体" w:cs="宋体"/>
                <w:color w:val="auto"/>
                <w:sz w:val="21"/>
                <w:szCs w:val="21"/>
                <w:shd w:val="clear" w:color="auto" w:fill="FFFFFF"/>
                <w:lang w:val="en" w:eastAsia="zh-CN"/>
              </w:rPr>
              <w:t>巴音郭楞蒙古自治州人民政府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59" w:type="dxa"/>
            <w:vMerge w:val="restart"/>
            <w:noWrap w:val="0"/>
            <w:vAlign w:val="center"/>
          </w:tcPr>
          <w:p>
            <w:pPr>
              <w:jc w:val="center"/>
              <w:rPr>
                <w:rFonts w:hint="eastAsia"/>
                <w:b/>
                <w:bCs/>
                <w:sz w:val="21"/>
                <w:szCs w:val="21"/>
                <w:lang w:eastAsia="zh-CN"/>
              </w:rPr>
            </w:pPr>
            <w:r>
              <w:rPr>
                <w:rFonts w:hint="eastAsia"/>
                <w:b/>
                <w:bCs/>
                <w:sz w:val="21"/>
                <w:szCs w:val="21"/>
                <w:lang w:eastAsia="zh-CN"/>
              </w:rPr>
              <w:t>主要</w:t>
            </w:r>
          </w:p>
          <w:p>
            <w:pPr>
              <w:jc w:val="center"/>
              <w:rPr>
                <w:rFonts w:hint="eastAsia"/>
                <w:b/>
                <w:bCs/>
                <w:sz w:val="21"/>
                <w:szCs w:val="21"/>
              </w:rPr>
            </w:pPr>
            <w:r>
              <w:rPr>
                <w:b/>
                <w:bCs/>
                <w:sz w:val="21"/>
                <w:szCs w:val="21"/>
              </w:rPr>
              <w:t>完成</w:t>
            </w:r>
          </w:p>
          <w:p>
            <w:pPr>
              <w:jc w:val="center"/>
              <w:rPr>
                <w:b/>
                <w:bCs/>
                <w:sz w:val="21"/>
                <w:szCs w:val="21"/>
              </w:rPr>
            </w:pPr>
            <w:r>
              <w:rPr>
                <w:b/>
                <w:bCs/>
                <w:sz w:val="21"/>
                <w:szCs w:val="21"/>
              </w:rPr>
              <w:t>单位</w:t>
            </w:r>
          </w:p>
        </w:tc>
        <w:tc>
          <w:tcPr>
            <w:tcW w:w="5042" w:type="dxa"/>
            <w:noWrap w:val="0"/>
            <w:vAlign w:val="center"/>
          </w:tcPr>
          <w:p>
            <w:pPr>
              <w:jc w:val="center"/>
              <w:rPr>
                <w:rFonts w:hint="eastAsia"/>
                <w:b/>
                <w:color w:val="000000"/>
                <w:sz w:val="21"/>
                <w:szCs w:val="21"/>
              </w:rPr>
            </w:pPr>
            <w:r>
              <w:rPr>
                <w:rFonts w:hint="eastAsia"/>
                <w:b/>
                <w:color w:val="000000"/>
                <w:sz w:val="21"/>
                <w:szCs w:val="21"/>
              </w:rPr>
              <w:t>单位名称</w:t>
            </w:r>
          </w:p>
        </w:tc>
        <w:tc>
          <w:tcPr>
            <w:tcW w:w="2521" w:type="dxa"/>
            <w:noWrap w:val="0"/>
            <w:vAlign w:val="center"/>
          </w:tcPr>
          <w:p>
            <w:pPr>
              <w:jc w:val="center"/>
              <w:rPr>
                <w:rFonts w:hint="eastAsia"/>
                <w:b/>
                <w:color w:val="000000"/>
                <w:sz w:val="21"/>
                <w:szCs w:val="21"/>
              </w:rPr>
            </w:pPr>
            <w:r>
              <w:rPr>
                <w:rFonts w:hint="eastAsia"/>
                <w:b/>
                <w:color w:val="000000"/>
                <w:sz w:val="21"/>
                <w:szCs w:val="21"/>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vMerge w:val="continue"/>
            <w:noWrap w:val="0"/>
            <w:vAlign w:val="center"/>
          </w:tcPr>
          <w:p>
            <w:pPr>
              <w:jc w:val="center"/>
              <w:rPr>
                <w:b/>
                <w:bCs/>
                <w:sz w:val="21"/>
                <w:szCs w:val="21"/>
              </w:rPr>
            </w:pPr>
          </w:p>
        </w:tc>
        <w:tc>
          <w:tcPr>
            <w:tcW w:w="5042"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新疆格瑞迪斯石油技术股份有限公司</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成都理工大学</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2"/>
                <w:sz w:val="21"/>
                <w:szCs w:val="21"/>
                <w:lang w:val="en-US" w:eastAsia="zh-CN" w:bidi="ar-SA"/>
              </w:rPr>
              <w:t>西南石油大学</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jc w:val="center"/>
              <w:rPr>
                <w:rFonts w:hint="eastAsia" w:ascii="宋体" w:hAnsi="宋体" w:eastAsia="宋体" w:cs="方正仿宋_GBK"/>
                <w:color w:val="000000"/>
                <w:kern w:val="2"/>
                <w:sz w:val="21"/>
                <w:szCs w:val="21"/>
                <w:lang w:val="en-US" w:eastAsia="zh-CN" w:bidi="ar-SA"/>
              </w:rPr>
            </w:pPr>
            <w:r>
              <w:rPr>
                <w:rFonts w:ascii="宋体" w:hAnsi="宋体" w:cs="方正仿宋_GBK"/>
                <w:color w:val="000000"/>
                <w:szCs w:val="21"/>
              </w:rPr>
              <w:t>中国石油天然气股份有限公司新疆油田分公司</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jc w:val="center"/>
              <w:rPr>
                <w:rFonts w:hint="eastAsia" w:ascii="宋体" w:hAnsi="宋体" w:eastAsia="宋体" w:cs="方正仿宋_GBK"/>
                <w:color w:val="000000"/>
                <w:kern w:val="2"/>
                <w:sz w:val="21"/>
                <w:szCs w:val="21"/>
                <w:lang w:val="en-US" w:eastAsia="zh-CN" w:bidi="ar-SA"/>
              </w:rPr>
            </w:pPr>
            <w:r>
              <w:rPr>
                <w:rFonts w:ascii="宋体" w:hAnsi="宋体" w:cs="方正仿宋_GBK"/>
                <w:color w:val="000000"/>
                <w:szCs w:val="21"/>
              </w:rPr>
              <w:t>中国石油天然气股份有限公司青海油田分公司</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jc w:val="center"/>
              <w:rPr>
                <w:rFonts w:hint="eastAsia" w:ascii="宋体" w:hAnsi="宋体" w:eastAsia="宋体" w:cs="方正仿宋_GBK"/>
                <w:color w:val="000000"/>
                <w:kern w:val="2"/>
                <w:sz w:val="21"/>
                <w:szCs w:val="21"/>
                <w:lang w:val="en-US" w:eastAsia="zh-CN" w:bidi="ar-SA"/>
              </w:rPr>
            </w:pPr>
            <w:r>
              <w:rPr>
                <w:rFonts w:ascii="宋体" w:hAnsi="宋体" w:cs="方正仿宋_GBK"/>
                <w:color w:val="000000"/>
                <w:szCs w:val="21"/>
              </w:rPr>
              <w:t>中国石油集团川庆钻探工程有限公司</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59" w:type="dxa"/>
            <w:noWrap w:val="0"/>
            <w:vAlign w:val="center"/>
          </w:tcPr>
          <w:p>
            <w:pPr>
              <w:jc w:val="center"/>
              <w:rPr>
                <w:b/>
                <w:bCs/>
                <w:sz w:val="21"/>
                <w:szCs w:val="21"/>
              </w:rPr>
            </w:pPr>
          </w:p>
        </w:tc>
        <w:tc>
          <w:tcPr>
            <w:tcW w:w="5042" w:type="dxa"/>
            <w:noWrap w:val="0"/>
            <w:vAlign w:val="center"/>
          </w:tcPr>
          <w:p>
            <w:pPr>
              <w:jc w:val="center"/>
              <w:rPr>
                <w:rFonts w:hint="eastAsia" w:ascii="宋体" w:hAnsi="宋体" w:eastAsia="宋体" w:cs="方正仿宋_GBK"/>
                <w:color w:val="000000"/>
                <w:kern w:val="2"/>
                <w:sz w:val="21"/>
                <w:szCs w:val="21"/>
                <w:lang w:val="en-US" w:eastAsia="zh-CN" w:bidi="ar-SA"/>
              </w:rPr>
            </w:pPr>
            <w:r>
              <w:rPr>
                <w:rFonts w:ascii="宋体" w:hAnsi="宋体" w:cs="方正仿宋_GBK"/>
                <w:color w:val="000000"/>
                <w:szCs w:val="21"/>
              </w:rPr>
              <w:t>中国石油集团西部钻探工程有限公司</w:t>
            </w:r>
          </w:p>
        </w:tc>
        <w:tc>
          <w:tcPr>
            <w:tcW w:w="2521" w:type="dxa"/>
            <w:noWrap w:val="0"/>
            <w:vAlign w:val="center"/>
          </w:tcPr>
          <w:p>
            <w:pPr>
              <w:autoSpaceDE w:val="0"/>
              <w:autoSpaceDN w:val="0"/>
              <w:adjustRightInd w:val="0"/>
              <w:spacing w:line="4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959" w:type="dxa"/>
            <w:noWrap w:val="0"/>
            <w:vAlign w:val="center"/>
          </w:tcPr>
          <w:p>
            <w:pPr>
              <w:jc w:val="center"/>
              <w:rPr>
                <w:b/>
                <w:bCs/>
                <w:sz w:val="21"/>
                <w:szCs w:val="21"/>
              </w:rPr>
            </w:pPr>
            <w:r>
              <w:rPr>
                <w:rFonts w:hint="eastAsia"/>
                <w:b/>
                <w:bCs/>
                <w:sz w:val="21"/>
                <w:szCs w:val="21"/>
                <w:lang w:eastAsia="zh-CN"/>
              </w:rPr>
              <w:t>主要</w:t>
            </w:r>
            <w:r>
              <w:rPr>
                <w:b/>
                <w:bCs/>
                <w:sz w:val="21"/>
                <w:szCs w:val="21"/>
              </w:rPr>
              <w:t>完成人</w:t>
            </w:r>
          </w:p>
        </w:tc>
        <w:tc>
          <w:tcPr>
            <w:tcW w:w="756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姓名：贺志刚</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排名：第一</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技术职称：提高待遇高级工程师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工作单位：新疆格瑞迪斯石油技术股份有限公司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姓名：张浩</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排名：第二</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技术职称：教授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工作单位：成都理工大学</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姓名：乔国发</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排名：第三</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技术职称：高级工程师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工作单位：新疆格瑞迪斯石油技术股份有限公司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姓名：杨斌</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排名：第四</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技术职称：副教授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工作单位：成都理工大学</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姓名：许成元</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排名：第五</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技术职称：教授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工作单位：西南石油大学</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姓名：朱忠伟</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排名：第六</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技术职称：正高级工程师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工作单位：中国石油天然气股份有限公司青海油田分公司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姓名：胡钟林</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排名：第七</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技术职称：高级工程师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工作单位：中国石油天然气股份有限公司新疆油田分公司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姓名：王利</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排名：第八</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技术职称：高级工程师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工作单位：中国石油集团川庆钻探工程有限公司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姓名：张津豪</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排名：第九</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工作单位：中国石油集团西部钻探工程有限公司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姓名：佘继平</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排名：第十</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技术职称：副教授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工作单位：成都理工大学</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姓名：龙海锋</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排名：第十一</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技术职称：工程师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工作单位：新疆格瑞迪斯石油技术股份有限公司</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1"/>
                <w:szCs w:val="21"/>
                <w:lang w:val="en-US" w:eastAsia="zh-CN"/>
              </w:rPr>
            </w:pPr>
            <w:r>
              <w:rPr>
                <w:rFonts w:hint="eastAsia"/>
                <w:sz w:val="21"/>
                <w:szCs w:val="21"/>
                <w:lang w:val="en-US" w:eastAsia="zh-CN"/>
              </w:rPr>
              <w:t>姓名：古霖蛟</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1"/>
                <w:szCs w:val="21"/>
                <w:lang w:val="en-US" w:eastAsia="zh-CN"/>
              </w:rPr>
            </w:pPr>
            <w:r>
              <w:rPr>
                <w:rFonts w:hint="eastAsia"/>
                <w:sz w:val="21"/>
                <w:szCs w:val="21"/>
                <w:lang w:val="en-US" w:eastAsia="zh-CN"/>
              </w:rPr>
              <w:t>排名：第十二</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1"/>
                <w:szCs w:val="21"/>
                <w:lang w:val="en-US" w:eastAsia="zh-CN"/>
              </w:rPr>
            </w:pPr>
            <w:r>
              <w:rPr>
                <w:rFonts w:hint="eastAsia"/>
                <w:sz w:val="21"/>
                <w:szCs w:val="21"/>
                <w:lang w:val="en-US" w:eastAsia="zh-CN"/>
              </w:rPr>
              <w:t>技术职称：工程师</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1"/>
                <w:szCs w:val="21"/>
                <w:lang w:val="en-US" w:eastAsia="zh-CN"/>
              </w:rPr>
            </w:pPr>
            <w:r>
              <w:rPr>
                <w:rFonts w:hint="eastAsia"/>
                <w:sz w:val="21"/>
                <w:szCs w:val="21"/>
                <w:lang w:val="en-US" w:eastAsia="zh-CN"/>
              </w:rPr>
              <w:t>工作单位：中国石油天然气股份有限公司新疆油田分公司</w:t>
            </w:r>
          </w:p>
        </w:tc>
      </w:tr>
    </w:tbl>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tbl>
      <w:tblPr>
        <w:tblStyle w:val="11"/>
        <w:tblpPr w:leftFromText="180" w:rightFromText="180" w:vertAnchor="text" w:horzAnchor="page" w:tblpX="1792" w:tblpY="40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541"/>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项目</w:t>
            </w:r>
          </w:p>
          <w:p>
            <w:pPr>
              <w:jc w:val="center"/>
              <w:rPr>
                <w:b/>
                <w:bCs/>
                <w:sz w:val="21"/>
                <w:szCs w:val="21"/>
              </w:rPr>
            </w:pPr>
            <w:r>
              <w:rPr>
                <w:rFonts w:hint="eastAsia"/>
                <w:b/>
                <w:bCs/>
                <w:sz w:val="21"/>
                <w:szCs w:val="21"/>
              </w:rPr>
              <w:t>名称</w:t>
            </w:r>
          </w:p>
        </w:tc>
        <w:tc>
          <w:tcPr>
            <w:tcW w:w="7563" w:type="dxa"/>
            <w:gridSpan w:val="2"/>
            <w:noWrap w:val="0"/>
            <w:vAlign w:val="center"/>
          </w:tcPr>
          <w:p>
            <w:pPr>
              <w:autoSpaceDE w:val="0"/>
              <w:autoSpaceDN w:val="0"/>
              <w:adjustRightInd w:val="0"/>
              <w:spacing w:line="400" w:lineRule="exact"/>
              <w:jc w:val="center"/>
              <w:rPr>
                <w:rFonts w:eastAsia="仿宋_GB2312"/>
                <w:bCs/>
                <w:sz w:val="21"/>
                <w:szCs w:val="21"/>
              </w:rPr>
            </w:pPr>
            <w:r>
              <w:rPr>
                <w:rFonts w:hint="eastAsia" w:ascii="宋体" w:hAnsi="宋体" w:eastAsia="宋体" w:cs="宋体"/>
                <w:color w:val="auto"/>
                <w:sz w:val="21"/>
                <w:szCs w:val="21"/>
                <w:shd w:val="clear" w:color="auto" w:fill="FFFFFF"/>
                <w:lang w:val="en" w:eastAsia="zh-CN"/>
              </w:rPr>
              <w:t>智能防爆撬装加油装置的研发和生产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b/>
                <w:bCs/>
                <w:sz w:val="21"/>
                <w:szCs w:val="21"/>
              </w:rPr>
            </w:pPr>
            <w:r>
              <w:rPr>
                <w:rFonts w:hint="eastAsia"/>
                <w:b/>
                <w:bCs/>
                <w:sz w:val="21"/>
                <w:szCs w:val="21"/>
              </w:rPr>
              <w:t>提名</w:t>
            </w:r>
          </w:p>
          <w:p>
            <w:pPr>
              <w:jc w:val="center"/>
              <w:rPr>
                <w:rFonts w:hint="eastAsia"/>
                <w:b/>
                <w:bCs/>
                <w:sz w:val="21"/>
                <w:szCs w:val="21"/>
              </w:rPr>
            </w:pPr>
            <w:r>
              <w:rPr>
                <w:rFonts w:hint="eastAsia"/>
                <w:b/>
                <w:bCs/>
                <w:sz w:val="21"/>
                <w:szCs w:val="21"/>
              </w:rPr>
              <w:t>单位</w:t>
            </w:r>
          </w:p>
        </w:tc>
        <w:tc>
          <w:tcPr>
            <w:tcW w:w="7563" w:type="dxa"/>
            <w:gridSpan w:val="2"/>
            <w:noWrap w:val="0"/>
            <w:vAlign w:val="center"/>
          </w:tcPr>
          <w:p>
            <w:pPr>
              <w:autoSpaceDE w:val="0"/>
              <w:autoSpaceDN w:val="0"/>
              <w:adjustRightInd w:val="0"/>
              <w:spacing w:line="400" w:lineRule="exact"/>
              <w:jc w:val="center"/>
              <w:rPr>
                <w:rFonts w:hint="default" w:ascii="宋体" w:hAnsi="宋体"/>
                <w:color w:val="333333"/>
                <w:sz w:val="21"/>
                <w:szCs w:val="21"/>
                <w:shd w:val="clear" w:color="auto" w:fill="FFFFFF"/>
                <w:lang w:val="en" w:eastAsia="zh-CN"/>
              </w:rPr>
            </w:pPr>
            <w:r>
              <w:rPr>
                <w:rFonts w:hint="eastAsia" w:ascii="宋体" w:hAnsi="宋体" w:eastAsia="宋体" w:cs="宋体"/>
                <w:color w:val="auto"/>
                <w:sz w:val="21"/>
                <w:szCs w:val="21"/>
                <w:shd w:val="clear" w:color="auto" w:fill="FFFFFF"/>
                <w:lang w:val="en" w:eastAsia="zh-CN"/>
              </w:rPr>
              <w:t>巴音郭楞蒙古自治州人民政府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59" w:type="dxa"/>
            <w:vMerge w:val="restart"/>
            <w:noWrap w:val="0"/>
            <w:vAlign w:val="center"/>
          </w:tcPr>
          <w:p>
            <w:pPr>
              <w:jc w:val="center"/>
              <w:rPr>
                <w:rFonts w:hint="eastAsia"/>
                <w:b/>
                <w:bCs/>
                <w:sz w:val="21"/>
                <w:szCs w:val="21"/>
                <w:lang w:eastAsia="zh-CN"/>
              </w:rPr>
            </w:pPr>
            <w:r>
              <w:rPr>
                <w:rFonts w:hint="eastAsia"/>
                <w:b/>
                <w:bCs/>
                <w:sz w:val="21"/>
                <w:szCs w:val="21"/>
                <w:lang w:eastAsia="zh-CN"/>
              </w:rPr>
              <w:t>主要</w:t>
            </w:r>
          </w:p>
          <w:p>
            <w:pPr>
              <w:jc w:val="center"/>
              <w:rPr>
                <w:rFonts w:hint="eastAsia"/>
                <w:b/>
                <w:bCs/>
                <w:sz w:val="21"/>
                <w:szCs w:val="21"/>
              </w:rPr>
            </w:pPr>
            <w:r>
              <w:rPr>
                <w:b/>
                <w:bCs/>
                <w:sz w:val="21"/>
                <w:szCs w:val="21"/>
              </w:rPr>
              <w:t>完成</w:t>
            </w:r>
          </w:p>
          <w:p>
            <w:pPr>
              <w:jc w:val="center"/>
              <w:rPr>
                <w:b/>
                <w:bCs/>
                <w:sz w:val="21"/>
                <w:szCs w:val="21"/>
              </w:rPr>
            </w:pPr>
            <w:r>
              <w:rPr>
                <w:b/>
                <w:bCs/>
                <w:sz w:val="21"/>
                <w:szCs w:val="21"/>
              </w:rPr>
              <w:t>单位</w:t>
            </w:r>
          </w:p>
        </w:tc>
        <w:tc>
          <w:tcPr>
            <w:tcW w:w="4541" w:type="dxa"/>
            <w:noWrap w:val="0"/>
            <w:vAlign w:val="center"/>
          </w:tcPr>
          <w:p>
            <w:pPr>
              <w:jc w:val="center"/>
              <w:rPr>
                <w:rFonts w:hint="eastAsia" w:ascii="Times New Roman" w:hAnsi="Times New Roman" w:eastAsia="宋体" w:cs="Times New Roman"/>
                <w:b/>
                <w:color w:val="000000"/>
                <w:kern w:val="2"/>
                <w:sz w:val="21"/>
                <w:szCs w:val="21"/>
                <w:lang w:val="en-US" w:eastAsia="zh-CN" w:bidi="ar-SA"/>
              </w:rPr>
            </w:pPr>
            <w:r>
              <w:rPr>
                <w:rFonts w:hint="eastAsia"/>
                <w:b/>
                <w:color w:val="000000"/>
                <w:sz w:val="21"/>
                <w:szCs w:val="21"/>
              </w:rPr>
              <w:t>单位名称</w:t>
            </w:r>
          </w:p>
        </w:tc>
        <w:tc>
          <w:tcPr>
            <w:tcW w:w="3022" w:type="dxa"/>
            <w:noWrap w:val="0"/>
            <w:vAlign w:val="center"/>
          </w:tcPr>
          <w:p>
            <w:pPr>
              <w:jc w:val="center"/>
              <w:rPr>
                <w:rFonts w:hint="eastAsia" w:ascii="Times New Roman" w:hAnsi="Times New Roman" w:eastAsia="宋体" w:cs="Times New Roman"/>
                <w:b/>
                <w:color w:val="000000"/>
                <w:kern w:val="2"/>
                <w:sz w:val="21"/>
                <w:szCs w:val="21"/>
                <w:lang w:val="en-US" w:eastAsia="zh-CN" w:bidi="ar-SA"/>
              </w:rPr>
            </w:pPr>
            <w:r>
              <w:rPr>
                <w:rFonts w:hint="eastAsia"/>
                <w:b/>
                <w:color w:val="000000"/>
                <w:sz w:val="21"/>
                <w:szCs w:val="21"/>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59" w:type="dxa"/>
            <w:vMerge w:val="continue"/>
            <w:noWrap w:val="0"/>
            <w:vAlign w:val="top"/>
          </w:tcPr>
          <w:p>
            <w:pPr>
              <w:rPr>
                <w:b/>
                <w:bCs/>
                <w:sz w:val="21"/>
                <w:szCs w:val="21"/>
              </w:rPr>
            </w:pPr>
          </w:p>
        </w:tc>
        <w:tc>
          <w:tcPr>
            <w:tcW w:w="4541"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eastAsia" w:ascii="宋体" w:hAnsi="宋体" w:eastAsia="宋体" w:cs="宋体"/>
                <w:color w:val="000000"/>
                <w:sz w:val="24"/>
                <w:szCs w:val="24"/>
                <w:lang w:val="en-US" w:eastAsia="zh-CN"/>
              </w:rPr>
              <w:t>新疆联诚重工科技有限公司</w:t>
            </w:r>
          </w:p>
        </w:tc>
        <w:tc>
          <w:tcPr>
            <w:tcW w:w="3022" w:type="dxa"/>
            <w:noWrap w:val="0"/>
            <w:vAlign w:val="center"/>
          </w:tcPr>
          <w:p>
            <w:pPr>
              <w:autoSpaceDE w:val="0"/>
              <w:autoSpaceDN w:val="0"/>
              <w:adjustRightInd w:val="0"/>
              <w:spacing w:line="400" w:lineRule="exact"/>
              <w:jc w:val="center"/>
              <w:rPr>
                <w:rFonts w:hint="eastAsia" w:ascii="宋体" w:hAnsi="宋体" w:eastAsia="宋体" w:cs="宋体"/>
                <w:color w:val="auto"/>
                <w:sz w:val="21"/>
                <w:szCs w:val="21"/>
                <w:shd w:val="clear" w:color="auto" w:fill="FFFFFF"/>
                <w:lang w:val="en-US" w:eastAsia="zh-CN"/>
              </w:rPr>
            </w:pPr>
            <w:r>
              <w:rPr>
                <w:rFonts w:hint="default" w:ascii="宋体" w:hAnsi="宋体" w:eastAsia="宋体" w:cs="宋体"/>
                <w:color w:val="auto"/>
                <w:sz w:val="21"/>
                <w:szCs w:val="21"/>
                <w:shd w:val="clear" w:color="auto" w:fill="FFFFFF"/>
                <w:lang w:val="en"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959" w:type="dxa"/>
            <w:noWrap w:val="0"/>
            <w:vAlign w:val="center"/>
          </w:tcPr>
          <w:p>
            <w:pPr>
              <w:jc w:val="center"/>
              <w:rPr>
                <w:b/>
                <w:bCs/>
                <w:sz w:val="21"/>
                <w:szCs w:val="21"/>
              </w:rPr>
            </w:pPr>
            <w:r>
              <w:rPr>
                <w:rFonts w:hint="eastAsia"/>
                <w:b/>
                <w:bCs/>
                <w:sz w:val="21"/>
                <w:szCs w:val="21"/>
                <w:lang w:eastAsia="zh-CN"/>
              </w:rPr>
              <w:t>主要</w:t>
            </w:r>
            <w:r>
              <w:rPr>
                <w:b/>
                <w:bCs/>
                <w:sz w:val="21"/>
                <w:szCs w:val="21"/>
              </w:rPr>
              <w:t>完成人</w:t>
            </w:r>
          </w:p>
        </w:tc>
        <w:tc>
          <w:tcPr>
            <w:tcW w:w="756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姓名：赵世和</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排名：第一</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default" w:ascii="宋体" w:hAnsi="宋体" w:eastAsia="宋体" w:cs="宋体"/>
                <w:bCs/>
                <w:sz w:val="21"/>
                <w:szCs w:val="21"/>
                <w:lang w:val="en" w:eastAsia="zh-CN"/>
              </w:rPr>
            </w:pPr>
            <w:r>
              <w:rPr>
                <w:rFonts w:hint="eastAsia" w:ascii="宋体" w:hAnsi="宋体" w:eastAsia="宋体" w:cs="宋体"/>
                <w:bCs/>
                <w:sz w:val="21"/>
                <w:szCs w:val="21"/>
                <w:lang w:val="en-US" w:eastAsia="zh-CN"/>
              </w:rPr>
              <w:t>技术职称：</w:t>
            </w:r>
            <w:r>
              <w:rPr>
                <w:rFonts w:hint="eastAsia" w:ascii="宋体" w:hAnsi="宋体" w:cs="宋体"/>
                <w:bCs/>
                <w:sz w:val="21"/>
                <w:szCs w:val="21"/>
                <w:lang w:val="en-US" w:eastAsia="zh-CN"/>
              </w:rPr>
              <w:t>中级</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 新疆联诚重工科技有限公司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姓名：于永林</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排名：第二</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技术职称：</w:t>
            </w:r>
            <w:r>
              <w:rPr>
                <w:rFonts w:hint="eastAsia" w:ascii="宋体" w:hAnsi="宋体" w:cs="宋体"/>
                <w:bCs/>
                <w:sz w:val="21"/>
                <w:szCs w:val="21"/>
                <w:lang w:val="en-US" w:eastAsia="zh-CN"/>
              </w:rPr>
              <w:t>无</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 新疆联诚重工科技有限公司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姓名：李杰良</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排名：第三</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技术职称：无</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 新疆联诚重工科技有限公司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姓名：魏新建</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排名：第四</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技术职称：无</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 新疆联诚重工科技有限公司</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姓名：赵国海</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排名：第五</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技术职称：无</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工作单位： 新疆联诚重工科技有限公司</w:t>
            </w:r>
          </w:p>
        </w:tc>
      </w:tr>
    </w:tbl>
    <w:p>
      <w:pPr>
        <w:pStyle w:val="10"/>
        <w:keepNext w:val="0"/>
        <w:keepLines w:val="0"/>
        <w:pageBreakBefore w:val="0"/>
        <w:kinsoku/>
        <w:wordWrap/>
        <w:overflowPunct/>
        <w:topLinePunct w:val="0"/>
        <w:autoSpaceDE/>
        <w:autoSpaceDN/>
        <w:bidi w:val="0"/>
        <w:spacing w:line="260" w:lineRule="exact"/>
        <w:ind w:left="0" w:leftChars="0" w:firstLine="0" w:firstLineChars="0"/>
        <w:textAlignment w:val="auto"/>
        <w:rPr>
          <w:rFonts w:hint="eastAsia"/>
          <w:sz w:val="21"/>
          <w:szCs w:val="21"/>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713"/>
    <w:rsid w:val="00085E53"/>
    <w:rsid w:val="00102B78"/>
    <w:rsid w:val="001A022A"/>
    <w:rsid w:val="002B2FD5"/>
    <w:rsid w:val="002E4D49"/>
    <w:rsid w:val="002F1554"/>
    <w:rsid w:val="003C1688"/>
    <w:rsid w:val="003F26C6"/>
    <w:rsid w:val="005041C3"/>
    <w:rsid w:val="00574AC7"/>
    <w:rsid w:val="005F6AB9"/>
    <w:rsid w:val="00660812"/>
    <w:rsid w:val="0069502C"/>
    <w:rsid w:val="006A3F88"/>
    <w:rsid w:val="006B7255"/>
    <w:rsid w:val="006F2577"/>
    <w:rsid w:val="00700747"/>
    <w:rsid w:val="00731A6C"/>
    <w:rsid w:val="007658FA"/>
    <w:rsid w:val="007671AD"/>
    <w:rsid w:val="007C2490"/>
    <w:rsid w:val="00835F7D"/>
    <w:rsid w:val="00854713"/>
    <w:rsid w:val="00855616"/>
    <w:rsid w:val="009018B6"/>
    <w:rsid w:val="00905B82"/>
    <w:rsid w:val="00976F70"/>
    <w:rsid w:val="009B2711"/>
    <w:rsid w:val="009F0D34"/>
    <w:rsid w:val="009F7E94"/>
    <w:rsid w:val="00B032D2"/>
    <w:rsid w:val="00B32668"/>
    <w:rsid w:val="00B61E20"/>
    <w:rsid w:val="00BF0A27"/>
    <w:rsid w:val="00BF7615"/>
    <w:rsid w:val="00CC3A46"/>
    <w:rsid w:val="00D24652"/>
    <w:rsid w:val="00D85EA7"/>
    <w:rsid w:val="00DC4DED"/>
    <w:rsid w:val="00EA3078"/>
    <w:rsid w:val="00EA5865"/>
    <w:rsid w:val="00EE4B14"/>
    <w:rsid w:val="00EF0A40"/>
    <w:rsid w:val="00F22378"/>
    <w:rsid w:val="00F507FA"/>
    <w:rsid w:val="064E377A"/>
    <w:rsid w:val="0BEBAAEB"/>
    <w:rsid w:val="0DEED38B"/>
    <w:rsid w:val="0E7698BF"/>
    <w:rsid w:val="19387A2D"/>
    <w:rsid w:val="1BE610AD"/>
    <w:rsid w:val="23F01563"/>
    <w:rsid w:val="283F1B8C"/>
    <w:rsid w:val="2B772FC9"/>
    <w:rsid w:val="2FD39BF8"/>
    <w:rsid w:val="330B3BD0"/>
    <w:rsid w:val="33DE9245"/>
    <w:rsid w:val="35FF285D"/>
    <w:rsid w:val="3BEF2A8A"/>
    <w:rsid w:val="3D5BB3F8"/>
    <w:rsid w:val="3F39DD66"/>
    <w:rsid w:val="42523226"/>
    <w:rsid w:val="43EF4157"/>
    <w:rsid w:val="47FEDAFB"/>
    <w:rsid w:val="49AB0E6E"/>
    <w:rsid w:val="49C64148"/>
    <w:rsid w:val="4DDF131E"/>
    <w:rsid w:val="4F6E71F0"/>
    <w:rsid w:val="51FFE058"/>
    <w:rsid w:val="594D4CC3"/>
    <w:rsid w:val="5BF66C5A"/>
    <w:rsid w:val="5C7F0C6C"/>
    <w:rsid w:val="5CC93576"/>
    <w:rsid w:val="5F867C58"/>
    <w:rsid w:val="5FDF21BA"/>
    <w:rsid w:val="5FFFCA3C"/>
    <w:rsid w:val="620571D6"/>
    <w:rsid w:val="65DFF5F4"/>
    <w:rsid w:val="662BAA81"/>
    <w:rsid w:val="677FE509"/>
    <w:rsid w:val="6A225BF2"/>
    <w:rsid w:val="6B5E3C97"/>
    <w:rsid w:val="6EDFBAEA"/>
    <w:rsid w:val="6FE395D1"/>
    <w:rsid w:val="6FEB07AB"/>
    <w:rsid w:val="6FEF570A"/>
    <w:rsid w:val="7520545E"/>
    <w:rsid w:val="76BF77AD"/>
    <w:rsid w:val="77D7D389"/>
    <w:rsid w:val="77DD0070"/>
    <w:rsid w:val="787D0B2D"/>
    <w:rsid w:val="79EA01E5"/>
    <w:rsid w:val="7A15022F"/>
    <w:rsid w:val="7ADF1026"/>
    <w:rsid w:val="7B1DAF85"/>
    <w:rsid w:val="7BAF78F9"/>
    <w:rsid w:val="7BBDF1F3"/>
    <w:rsid w:val="7BF19B05"/>
    <w:rsid w:val="7D6DCDB0"/>
    <w:rsid w:val="7DEAB1B0"/>
    <w:rsid w:val="7E557569"/>
    <w:rsid w:val="7EEFC820"/>
    <w:rsid w:val="7EFB5FD7"/>
    <w:rsid w:val="7F67C755"/>
    <w:rsid w:val="7FFE1528"/>
    <w:rsid w:val="7FFE8EC1"/>
    <w:rsid w:val="7FFF5CED"/>
    <w:rsid w:val="7FFFE7ED"/>
    <w:rsid w:val="8DF730FC"/>
    <w:rsid w:val="93FE25BB"/>
    <w:rsid w:val="9CDC21D5"/>
    <w:rsid w:val="A7F51611"/>
    <w:rsid w:val="A9BD5D21"/>
    <w:rsid w:val="B17F2392"/>
    <w:rsid w:val="B5B51D6B"/>
    <w:rsid w:val="BBFDBD3B"/>
    <w:rsid w:val="BC7E7ADD"/>
    <w:rsid w:val="BF5FFB1E"/>
    <w:rsid w:val="BFE1AD70"/>
    <w:rsid w:val="C7BDFAF0"/>
    <w:rsid w:val="CBFE33AC"/>
    <w:rsid w:val="D755646A"/>
    <w:rsid w:val="D7975E7A"/>
    <w:rsid w:val="D9F662CA"/>
    <w:rsid w:val="DD662DCA"/>
    <w:rsid w:val="DDA23C02"/>
    <w:rsid w:val="DDDFF5A4"/>
    <w:rsid w:val="DDF55008"/>
    <w:rsid w:val="DF7F40AB"/>
    <w:rsid w:val="E27EB686"/>
    <w:rsid w:val="E2BE2AA2"/>
    <w:rsid w:val="E7AF3453"/>
    <w:rsid w:val="E7F31AB0"/>
    <w:rsid w:val="E9FEBA4C"/>
    <w:rsid w:val="EAB74343"/>
    <w:rsid w:val="EB976525"/>
    <w:rsid w:val="EBD7F35B"/>
    <w:rsid w:val="EEBFDA88"/>
    <w:rsid w:val="EEFE1AAC"/>
    <w:rsid w:val="EF7B9FE8"/>
    <w:rsid w:val="EFF6B369"/>
    <w:rsid w:val="F3EDD70E"/>
    <w:rsid w:val="F5BEF1CE"/>
    <w:rsid w:val="F71F2E62"/>
    <w:rsid w:val="F757211E"/>
    <w:rsid w:val="F7FBEB17"/>
    <w:rsid w:val="FA7FE07D"/>
    <w:rsid w:val="FAFEA8AA"/>
    <w:rsid w:val="FDEF60EF"/>
    <w:rsid w:val="FDF899FF"/>
    <w:rsid w:val="FE773A93"/>
    <w:rsid w:val="FE7B57C5"/>
    <w:rsid w:val="FEF77092"/>
    <w:rsid w:val="FFF77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4">
    <w:name w:val="heading 3"/>
    <w:basedOn w:val="1"/>
    <w:next w:val="1"/>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样式 仿宋_GB2312 四号 行距: 1.5 倍行距"/>
    <w:basedOn w:val="1"/>
    <w:qFormat/>
    <w:uiPriority w:val="0"/>
    <w:pPr>
      <w:spacing w:line="360" w:lineRule="auto"/>
      <w:ind w:firstLine="560"/>
    </w:pPr>
    <w:rPr>
      <w:rFonts w:ascii="宋体" w:hAnsi="宋体"/>
      <w:color w:val="000000"/>
      <w:szCs w:val="20"/>
    </w:rPr>
  </w:style>
  <w:style w:type="paragraph" w:styleId="5">
    <w:name w:val="Body Text"/>
    <w:basedOn w:val="1"/>
    <w:qFormat/>
    <w:uiPriority w:val="0"/>
    <w:pPr>
      <w:spacing w:after="120"/>
    </w:pPr>
    <w:rPr>
      <w:rFonts w:ascii="仿宋_GB2312"/>
      <w:spacing w:val="-4"/>
    </w:rPr>
  </w:style>
  <w:style w:type="paragraph" w:styleId="6">
    <w:name w:val="Body Text Indent"/>
    <w:basedOn w:val="1"/>
    <w:qFormat/>
    <w:uiPriority w:val="0"/>
    <w:pPr>
      <w:spacing w:after="120"/>
      <w:ind w:left="420" w:leftChars="200"/>
    </w:pPr>
  </w:style>
  <w:style w:type="paragraph" w:styleId="7">
    <w:name w:val="footer"/>
    <w:basedOn w:val="1"/>
    <w:link w:val="14"/>
    <w:semiHidden/>
    <w:unhideWhenUsed/>
    <w:qFormat/>
    <w:uiPriority w:val="99"/>
    <w:pPr>
      <w:tabs>
        <w:tab w:val="center" w:pos="4153"/>
        <w:tab w:val="right" w:pos="8306"/>
      </w:tabs>
      <w:snapToGrid w:val="0"/>
      <w:jc w:val="left"/>
    </w:pPr>
    <w:rPr>
      <w:sz w:val="18"/>
      <w:szCs w:val="18"/>
    </w:rPr>
  </w:style>
  <w:style w:type="paragraph" w:styleId="8">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qFormat/>
    <w:uiPriority w:val="0"/>
    <w:pPr>
      <w:ind w:firstLine="420" w:firstLineChars="200"/>
    </w:pPr>
  </w:style>
  <w:style w:type="character" w:customStyle="1" w:styleId="13">
    <w:name w:val="页眉 Char"/>
    <w:basedOn w:val="12"/>
    <w:link w:val="8"/>
    <w:semiHidden/>
    <w:qFormat/>
    <w:uiPriority w:val="99"/>
    <w:rPr>
      <w:rFonts w:ascii="Times New Roman" w:hAnsi="Times New Roman" w:eastAsia="宋体" w:cs="Times New Roman"/>
      <w:sz w:val="18"/>
      <w:szCs w:val="18"/>
    </w:rPr>
  </w:style>
  <w:style w:type="character" w:customStyle="1" w:styleId="14">
    <w:name w:val="页脚 Char"/>
    <w:basedOn w:val="12"/>
    <w:link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85</Words>
  <Characters>487</Characters>
  <Lines>4</Lines>
  <Paragraphs>1</Paragraphs>
  <TotalTime>3</TotalTime>
  <ScaleCrop>false</ScaleCrop>
  <LinksUpToDate>false</LinksUpToDate>
  <CharactersWithSpaces>571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2020-10-02T13:32:00Z</dcterms:created>
  <dc:creator>微软用户</dc:creator>
  <cp:lastModifiedBy>wxh</cp:lastModifiedBy>
  <cp:lastPrinted>2025-11-02T11:12:00Z</cp:lastPrinted>
  <dcterms:modified xsi:type="dcterms:W3CDTF">2026-08-05T11:26:45Z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5598AFD596C2F7C364AD726A94AE8541</vt:lpwstr>
  </property>
</Properties>
</file>